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r>
        <w:rPr>
          <w:sz w:val="22"/>
          <w:szCs w:val="22"/>
          <w:lang w:val="en-GB"/>
        </w:rPr>
        <w:t xml:space="preserve">3GPP TSG-RAN WG2 </w:t>
      </w:r>
      <w:r>
        <w:rPr>
          <w:lang w:val="en-GB"/>
        </w:rPr>
        <w:t xml:space="preserve">NR </w:t>
      </w:r>
      <w:r>
        <w:rPr>
          <w:sz w:val="22"/>
          <w:szCs w:val="32"/>
          <w:lang w:val="en-GB"/>
        </w:rPr>
        <w:t>AH1807 Meeting</w:t>
      </w:r>
      <w:r>
        <w:rPr>
          <w:rFonts w:hint="eastAsia" w:eastAsiaTheme="minorEastAsia"/>
          <w:sz w:val="22"/>
          <w:szCs w:val="22"/>
          <w:lang w:val="en-GB" w:eastAsia="zh-CN"/>
        </w:rPr>
        <w:t xml:space="preserve">   </w:t>
      </w:r>
      <w:r>
        <w:rPr>
          <w:sz w:val="22"/>
          <w:szCs w:val="22"/>
          <w:lang w:val="en-GB"/>
        </w:rPr>
        <w:t>                                              </w:t>
      </w:r>
      <w:r>
        <w:rPr>
          <w:rFonts w:hint="eastAsia" w:eastAsia="宋体"/>
          <w:sz w:val="22"/>
          <w:szCs w:val="22"/>
          <w:lang w:val="en-US" w:eastAsia="zh-CN"/>
        </w:rPr>
        <w:t xml:space="preserve">  </w:t>
      </w:r>
      <w:r>
        <w:rPr>
          <w:sz w:val="22"/>
          <w:szCs w:val="22"/>
          <w:lang w:val="en-GB"/>
        </w:rPr>
        <w:t xml:space="preserve"> </w:t>
      </w:r>
      <w:r>
        <w:rPr>
          <w:rFonts w:cs="Arial"/>
          <w:sz w:val="22"/>
          <w:szCs w:val="22"/>
        </w:rPr>
        <w:t>R2-1</w:t>
      </w:r>
      <w:r>
        <w:rPr>
          <w:rFonts w:hint="eastAsia" w:eastAsia="宋体" w:cs="Arial"/>
          <w:sz w:val="22"/>
          <w:szCs w:val="22"/>
          <w:lang w:val="en-US" w:eastAsia="zh-CN"/>
        </w:rPr>
        <w:t>809662</w:t>
      </w:r>
    </w:p>
    <w:p>
      <w:pPr>
        <w:pStyle w:val="17"/>
        <w:tabs>
          <w:tab w:val="left" w:pos="1701"/>
          <w:tab w:val="right" w:pos="9923"/>
          <w:tab w:val="clear" w:pos="4536"/>
          <w:tab w:val="clear" w:pos="9072"/>
        </w:tabs>
        <w:rPr>
          <w:lang w:val="en-GB"/>
        </w:rPr>
      </w:pPr>
      <w:r>
        <w:rPr>
          <w:lang w:val="en-GB"/>
        </w:rPr>
        <w:t>Montreal, Canada, 2nd - 6th July 2018</w:t>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p>
    <w:p>
      <w:pPr>
        <w:pStyle w:val="17"/>
        <w:tabs>
          <w:tab w:val="left" w:pos="1800"/>
          <w:tab w:val="clear" w:pos="4536"/>
        </w:tabs>
        <w:ind w:left="1840" w:hanging="1840" w:hangingChars="833"/>
        <w:jc w:val="both"/>
        <w:rPr>
          <w:rFonts w:cs="Arial" w:eastAsiaTheme="minorEastAsia"/>
          <w:sz w:val="22"/>
          <w:szCs w:val="22"/>
          <w:lang w:val="en-US" w:eastAsia="zh-CN"/>
        </w:rPr>
      </w:pPr>
      <w:r>
        <w:rPr>
          <w:rFonts w:cs="Arial"/>
          <w:sz w:val="22"/>
          <w:szCs w:val="22"/>
        </w:rPr>
        <w:t>Title:</w:t>
      </w:r>
      <w:bookmarkStart w:id="0" w:name="Title"/>
      <w:bookmarkEnd w:id="0"/>
      <w:r>
        <w:rPr>
          <w:rFonts w:cs="Arial"/>
          <w:sz w:val="22"/>
          <w:szCs w:val="22"/>
        </w:rPr>
        <w:tab/>
      </w:r>
      <w:r>
        <w:rPr>
          <w:rFonts w:hint="eastAsia" w:eastAsia="宋体" w:cs="Arial"/>
          <w:sz w:val="22"/>
          <w:szCs w:val="22"/>
          <w:lang w:val="en-US" w:eastAsia="zh-CN"/>
        </w:rPr>
        <w:t>Discussion on the beam specific BI indicator</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val="en-US" w:eastAsia="zh-CN"/>
        </w:rPr>
        <w:t>10.3.1.4.2</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w:t>
      </w:r>
    </w:p>
    <w:p>
      <w:pPr>
        <w:pStyle w:val="2"/>
        <w:pBdr>
          <w:top w:val="single" w:color="auto" w:sz="4" w:space="1"/>
        </w:pBdr>
        <w:jc w:val="both"/>
        <w:rPr>
          <w:rFonts w:hint="eastAsia" w:eastAsia="宋体"/>
          <w:lang w:val="en-US" w:eastAsia="zh-CN"/>
        </w:rPr>
      </w:pPr>
      <w:r>
        <w:rPr>
          <w:szCs w:val="28"/>
        </w:rPr>
        <w:t>Introduction</w:t>
      </w:r>
    </w:p>
    <w:p>
      <w:pPr>
        <w:pStyle w:val="3"/>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Whether to introduce the Beam specific BI </w:t>
      </w:r>
      <w:r>
        <w:rPr>
          <w:rFonts w:hint="eastAsia" w:ascii="Times New Roman" w:hAnsi="Times New Roman" w:eastAsia="宋体" w:cs="Times New Roman"/>
          <w:lang w:val="en-US" w:eastAsia="zh-CN"/>
        </w:rPr>
        <w:t>was</w:t>
      </w:r>
      <w:r>
        <w:rPr>
          <w:rFonts w:hint="default" w:ascii="Times New Roman" w:hAnsi="Times New Roman" w:eastAsia="宋体" w:cs="Times New Roman"/>
          <w:lang w:val="en-US" w:eastAsia="zh-CN"/>
        </w:rPr>
        <w:t xml:space="preserve"> discussed in the previous meeting, and have not achieved </w:t>
      </w:r>
      <w:r>
        <w:rPr>
          <w:rFonts w:hint="eastAsia" w:ascii="Times New Roman" w:hAnsi="Times New Roman" w:eastAsia="宋体" w:cs="Times New Roman"/>
          <w:lang w:val="en-US" w:eastAsia="zh-CN"/>
        </w:rPr>
        <w:t>any</w:t>
      </w:r>
      <w:r>
        <w:rPr>
          <w:rFonts w:hint="default" w:ascii="Times New Roman" w:hAnsi="Times New Roman" w:eastAsia="宋体" w:cs="Times New Roman"/>
          <w:lang w:val="en-US" w:eastAsia="zh-CN"/>
        </w:rPr>
        <w:t xml:space="preserve"> agreement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 xml:space="preserve"> yet</w:t>
      </w:r>
      <w:r>
        <w:rPr>
          <w:rFonts w:hint="eastAsia" w:ascii="Times New Roman" w:hAnsi="Times New Roman" w:eastAsia="宋体" w:cs="Times New Roman"/>
          <w:lang w:val="en-US" w:eastAsia="zh-CN"/>
        </w:rPr>
        <w:t xml:space="preserve">. Since the beam specific BI may cause considerable change in RACH procedure (i.e. Random access Response), Thus the intention of this paper is to </w:t>
      </w:r>
      <w:r>
        <w:rPr>
          <w:rFonts w:hint="eastAsia" w:eastAsia="宋体" w:cs="Times New Roman"/>
          <w:lang w:val="en-US" w:eastAsia="zh-CN"/>
        </w:rPr>
        <w:t>compare the current BI and Beam specific BI based on the current RACH procedure. And give out our suggestion about whether to introduce the beam specific backoff or not.</w:t>
      </w:r>
    </w:p>
    <w:p>
      <w:pPr>
        <w:pStyle w:val="3"/>
        <w:pBdr>
          <w:bottom w:val="single" w:color="auto" w:sz="4" w:space="0"/>
        </w:pBdr>
        <w:rPr>
          <w:rFonts w:hint="eastAsia" w:ascii="Times New Roman" w:hAnsi="Times New Roman" w:eastAsia="宋体" w:cs="Times New Roman"/>
          <w:lang w:val="en-US" w:eastAsia="zh-CN"/>
        </w:rPr>
      </w:pPr>
    </w:p>
    <w:p>
      <w:pPr>
        <w:pStyle w:val="2"/>
        <w:rPr>
          <w:rFonts w:hint="eastAsia"/>
          <w:szCs w:val="28"/>
        </w:rPr>
      </w:pPr>
      <w:r>
        <w:rPr>
          <w:rFonts w:hint="eastAsia"/>
        </w:rPr>
        <w:t>Discussion</w:t>
      </w:r>
    </w:p>
    <w:p>
      <w:pPr>
        <w:rPr>
          <w:rFonts w:hint="eastAsia" w:ascii="Times New Roman" w:hAnsi="Times New Roman" w:cs="Times New Roman"/>
          <w:b w:val="0"/>
          <w:bCs w:val="0"/>
          <w:sz w:val="20"/>
          <w:szCs w:val="21"/>
          <w:lang w:val="en-US" w:eastAsia="zh-CN"/>
        </w:rPr>
      </w:pPr>
      <w:r>
        <w:rPr>
          <w:rFonts w:hint="eastAsia" w:cs="Times New Roman"/>
          <w:b w:val="0"/>
          <w:bCs w:val="0"/>
          <w:sz w:val="20"/>
          <w:szCs w:val="21"/>
          <w:lang w:val="en-US" w:eastAsia="zh-CN"/>
        </w:rPr>
        <w:t xml:space="preserve">Before analyzing the beam specific backoff, we should clarify the current BI mechanism at first. </w:t>
      </w:r>
      <w:r>
        <w:rPr>
          <w:rFonts w:hint="default" w:ascii="Times New Roman" w:hAnsi="Times New Roman" w:cs="Times New Roman"/>
          <w:b w:val="0"/>
          <w:bCs w:val="0"/>
          <w:sz w:val="20"/>
          <w:szCs w:val="21"/>
          <w:lang w:val="en-US" w:eastAsia="zh-CN"/>
        </w:rPr>
        <w:t xml:space="preserve">Based on the current specification, </w:t>
      </w:r>
      <w:r>
        <w:rPr>
          <w:rFonts w:hint="eastAsia" w:ascii="Times New Roman" w:hAnsi="Times New Roman" w:cs="Times New Roman"/>
          <w:b w:val="0"/>
          <w:bCs w:val="0"/>
          <w:sz w:val="20"/>
          <w:szCs w:val="21"/>
          <w:lang w:val="en-US" w:eastAsia="zh-CN"/>
        </w:rPr>
        <w:t>UE shall use the calculated RA-RNTI for monitoring all of the RARs within the configured RAR-window. Since the RA-RNTI is calculated by upon the used RO for msg.1, the RAR PDU is related to the corresponding RA-RNTI, in other words, as shown in figure.1, One RAR PDU is for all of the UEs which use the same related RO for transmitting Msg.1.</w:t>
      </w:r>
    </w:p>
    <w:p>
      <w:pPr>
        <w:rPr>
          <w:rFonts w:hint="eastAsia" w:ascii="Times New Roman" w:hAnsi="Times New Roman" w:cs="Times New Roman"/>
          <w:b w:val="0"/>
          <w:bCs w:val="0"/>
          <w:sz w:val="20"/>
          <w:szCs w:val="21"/>
          <w:lang w:val="en-US" w:eastAsia="zh-CN"/>
        </w:rPr>
      </w:pPr>
    </w:p>
    <w:p>
      <w:pPr>
        <w:jc w:val="center"/>
      </w:pPr>
      <w:r>
        <w:drawing>
          <wp:inline distT="0" distB="0" distL="114300" distR="114300">
            <wp:extent cx="4662170" cy="1094740"/>
            <wp:effectExtent l="0" t="0" r="0" b="10160"/>
            <wp:docPr id="3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pic:cNvPicPr>
                      <a:picLocks noChangeAspect="1"/>
                    </pic:cNvPicPr>
                  </pic:nvPicPr>
                  <pic:blipFill>
                    <a:blip r:embed="rId7"/>
                    <a:stretch>
                      <a:fillRect/>
                    </a:stretch>
                  </pic:blipFill>
                  <pic:spPr>
                    <a:xfrm>
                      <a:off x="0" y="0"/>
                      <a:ext cx="4662170" cy="1094740"/>
                    </a:xfrm>
                    <a:prstGeom prst="rect">
                      <a:avLst/>
                    </a:prstGeom>
                  </pic:spPr>
                </pic:pic>
              </a:graphicData>
            </a:graphic>
          </wp:inline>
        </w:drawing>
      </w:r>
    </w:p>
    <w:p>
      <w:pPr>
        <w:jc w:val="center"/>
        <w:rPr>
          <w:rFonts w:hint="eastAsia" w:eastAsia="宋体"/>
          <w:lang w:val="en-US" w:eastAsia="zh-CN"/>
        </w:rPr>
      </w:pPr>
      <w:r>
        <w:rPr>
          <w:rFonts w:hint="eastAsia" w:eastAsia="宋体"/>
          <w:lang w:val="en-US" w:eastAsia="zh-CN"/>
        </w:rPr>
        <w:t>Fig.1 RAR PDU is related to corresponding RO</w:t>
      </w:r>
    </w:p>
    <w:p>
      <w:pPr>
        <w:rPr>
          <w:rFonts w:hint="default" w:ascii="Times New Roman" w:hAnsi="Times New Roman" w:cs="Times New Roman"/>
          <w:b w:val="0"/>
          <w:bCs w:val="0"/>
          <w:sz w:val="20"/>
          <w:szCs w:val="21"/>
          <w:lang w:val="en-US" w:eastAsia="zh-CN"/>
        </w:rPr>
      </w:pPr>
      <w:r>
        <w:rPr>
          <w:rFonts w:hint="eastAsia" w:ascii="Times New Roman" w:hAnsi="Times New Roman" w:cs="Times New Roman"/>
          <w:b w:val="0"/>
          <w:bCs w:val="0"/>
          <w:sz w:val="20"/>
          <w:szCs w:val="21"/>
          <w:lang w:val="en-US" w:eastAsia="zh-CN"/>
        </w:rPr>
        <w:t xml:space="preserve">Since </w:t>
      </w:r>
      <w:r>
        <w:rPr>
          <w:rFonts w:hint="default" w:ascii="Times New Roman" w:hAnsi="Times New Roman" w:cs="Times New Roman"/>
          <w:b w:val="0"/>
          <w:bCs w:val="0"/>
          <w:sz w:val="20"/>
          <w:szCs w:val="21"/>
          <w:lang w:val="en-US" w:eastAsia="zh-CN"/>
        </w:rPr>
        <w:t xml:space="preserve">at most one BI indicator subheader can be included in one RAR PDU currently, </w:t>
      </w:r>
      <w:r>
        <w:rPr>
          <w:rFonts w:hint="eastAsia" w:ascii="Times New Roman" w:hAnsi="Times New Roman" w:cs="Times New Roman"/>
          <w:b w:val="0"/>
          <w:bCs w:val="0"/>
          <w:sz w:val="20"/>
          <w:szCs w:val="21"/>
          <w:lang w:val="en-US" w:eastAsia="zh-CN"/>
        </w:rPr>
        <w:t>hence</w:t>
      </w:r>
      <w:r>
        <w:rPr>
          <w:rFonts w:hint="default" w:ascii="Times New Roman" w:hAnsi="Times New Roman" w:cs="Times New Roman"/>
          <w:b w:val="0"/>
          <w:bCs w:val="0"/>
          <w:sz w:val="20"/>
          <w:szCs w:val="21"/>
          <w:lang w:val="en-US" w:eastAsia="zh-CN"/>
        </w:rPr>
        <w:t xml:space="preserve"> it means that the BI indicator carried </w:t>
      </w:r>
      <w:r>
        <w:rPr>
          <w:rFonts w:hint="eastAsia" w:ascii="Times New Roman" w:hAnsi="Times New Roman" w:cs="Times New Roman"/>
          <w:b w:val="0"/>
          <w:bCs w:val="0"/>
          <w:sz w:val="20"/>
          <w:szCs w:val="21"/>
          <w:lang w:val="en-US" w:eastAsia="zh-CN"/>
        </w:rPr>
        <w:t>on the</w:t>
      </w:r>
      <w:r>
        <w:rPr>
          <w:rFonts w:hint="default" w:ascii="Times New Roman" w:hAnsi="Times New Roman" w:cs="Times New Roman"/>
          <w:b w:val="0"/>
          <w:bCs w:val="0"/>
          <w:sz w:val="20"/>
          <w:szCs w:val="21"/>
          <w:lang w:val="en-US" w:eastAsia="zh-CN"/>
        </w:rPr>
        <w:t xml:space="preserve"> RAR PDU only reflects the load of the related RO. </w:t>
      </w:r>
    </w:p>
    <w:p>
      <w:pPr>
        <w:rPr>
          <w:rFonts w:hint="eastAsia" w:ascii="Times New Roman" w:hAnsi="Times New Roman" w:cs="Times New Roman"/>
          <w:b w:val="0"/>
          <w:bCs w:val="0"/>
          <w:i/>
          <w:iCs/>
          <w:sz w:val="20"/>
          <w:szCs w:val="21"/>
          <w:lang w:val="en-US" w:eastAsia="zh-CN"/>
        </w:rPr>
      </w:pPr>
    </w:p>
    <w:p>
      <w:pPr>
        <w:rPr>
          <w:rFonts w:hint="default" w:ascii="Times New Roman" w:hAnsi="Times New Roman" w:cs="Times New Roman"/>
          <w:b/>
          <w:bCs/>
          <w:i w:val="0"/>
          <w:iCs w:val="0"/>
          <w:sz w:val="20"/>
          <w:szCs w:val="21"/>
          <w:lang w:val="en-US" w:eastAsia="zh-CN"/>
        </w:rPr>
      </w:pPr>
      <w:r>
        <w:rPr>
          <w:rFonts w:hint="eastAsia" w:ascii="Times New Roman" w:hAnsi="Times New Roman" w:cs="Times New Roman"/>
          <w:b/>
          <w:bCs/>
          <w:i w:val="0"/>
          <w:iCs w:val="0"/>
          <w:sz w:val="20"/>
          <w:szCs w:val="21"/>
          <w:lang w:val="en-US" w:eastAsia="zh-CN"/>
        </w:rPr>
        <w:t xml:space="preserve">Observation 1: </w:t>
      </w:r>
      <w:r>
        <w:rPr>
          <w:rFonts w:hint="eastAsia" w:cs="Times New Roman"/>
          <w:b/>
          <w:bCs/>
          <w:i w:val="0"/>
          <w:iCs w:val="0"/>
          <w:sz w:val="20"/>
          <w:szCs w:val="21"/>
          <w:lang w:val="en-US" w:eastAsia="zh-CN"/>
        </w:rPr>
        <w:t>Since the RA-RNTI is calculated based by the location of RO, thus t</w:t>
      </w:r>
      <w:r>
        <w:rPr>
          <w:rFonts w:hint="eastAsia" w:ascii="Times New Roman" w:hAnsi="Times New Roman" w:cs="Times New Roman"/>
          <w:b/>
          <w:bCs/>
          <w:i w:val="0"/>
          <w:iCs w:val="0"/>
          <w:sz w:val="20"/>
          <w:szCs w:val="21"/>
          <w:lang w:val="en-US" w:eastAsia="zh-CN"/>
        </w:rPr>
        <w:t xml:space="preserve">he current BI </w:t>
      </w:r>
      <w:r>
        <w:rPr>
          <w:rFonts w:hint="eastAsia" w:cs="Times New Roman"/>
          <w:b/>
          <w:bCs/>
          <w:i w:val="0"/>
          <w:iCs w:val="0"/>
          <w:sz w:val="20"/>
          <w:szCs w:val="21"/>
          <w:lang w:val="en-US" w:eastAsia="zh-CN"/>
        </w:rPr>
        <w:t>can be considered as</w:t>
      </w:r>
      <w:r>
        <w:rPr>
          <w:rFonts w:hint="eastAsia" w:ascii="Times New Roman" w:hAnsi="Times New Roman" w:cs="Times New Roman"/>
          <w:b/>
          <w:bCs/>
          <w:i w:val="0"/>
          <w:iCs w:val="0"/>
          <w:sz w:val="20"/>
          <w:szCs w:val="21"/>
          <w:lang w:val="en-US" w:eastAsia="zh-CN"/>
        </w:rPr>
        <w:t xml:space="preserve"> RO specific.</w:t>
      </w:r>
    </w:p>
    <w:p>
      <w:pPr>
        <w:rPr>
          <w:rFonts w:hint="default" w:ascii="Times New Roman" w:hAnsi="Times New Roman" w:cs="Times New Roman"/>
          <w:b w:val="0"/>
          <w:bCs w:val="0"/>
          <w:sz w:val="20"/>
          <w:szCs w:val="21"/>
          <w:lang w:val="en-US" w:eastAsia="zh-CN"/>
        </w:rPr>
      </w:pPr>
    </w:p>
    <w:p>
      <w:pPr>
        <w:rPr>
          <w:rFonts w:hint="default" w:ascii="Times New Roman" w:hAnsi="Times New Roman" w:eastAsia="宋体" w:cs="Times New Roman"/>
          <w:b w:val="0"/>
          <w:bCs w:val="0"/>
          <w:i/>
          <w:iCs/>
          <w:sz w:val="20"/>
          <w:szCs w:val="21"/>
          <w:highlight w:val="yellow"/>
          <w:lang w:val="en-US" w:eastAsia="zh-CN"/>
        </w:rPr>
      </w:pPr>
      <w:r>
        <w:rPr>
          <w:rFonts w:hint="eastAsia" w:ascii="Times New Roman" w:hAnsi="Times New Roman" w:cs="Times New Roman"/>
          <w:b w:val="0"/>
          <w:bCs w:val="0"/>
          <w:sz w:val="20"/>
          <w:szCs w:val="21"/>
          <w:lang w:val="en-US" w:eastAsia="zh-CN"/>
        </w:rPr>
        <w:t xml:space="preserve">However, the only way to realize the beam specific backoff is to introduce the Beam specific BI, based on the Observation 1, and considering the current RRC parameter for mapping relationship between RO and SSB, we </w:t>
      </w:r>
      <w:r>
        <w:rPr>
          <w:rFonts w:hint="eastAsia" w:cs="Times New Roman"/>
          <w:b w:val="0"/>
          <w:bCs w:val="0"/>
          <w:sz w:val="20"/>
          <w:szCs w:val="21"/>
          <w:lang w:val="en-US" w:eastAsia="zh-CN"/>
        </w:rPr>
        <w:t>give the below analyze for</w:t>
      </w:r>
      <w:r>
        <w:rPr>
          <w:rFonts w:hint="eastAsia" w:ascii="Times New Roman" w:hAnsi="Times New Roman" w:cs="Times New Roman"/>
          <w:b w:val="0"/>
          <w:bCs w:val="0"/>
          <w:sz w:val="20"/>
          <w:szCs w:val="21"/>
          <w:lang w:val="en-US" w:eastAsia="zh-CN"/>
        </w:rPr>
        <w:t xml:space="preserve"> RO specific BI and SSB specific BI</w:t>
      </w:r>
      <w:r>
        <w:rPr>
          <w:rFonts w:hint="eastAsia" w:cs="Times New Roman"/>
          <w:b w:val="0"/>
          <w:bCs w:val="0"/>
          <w:sz w:val="20"/>
          <w:szCs w:val="21"/>
          <w:lang w:val="en-US" w:eastAsia="zh-CN"/>
        </w:rPr>
        <w:t xml:space="preserve"> in different cases</w:t>
      </w:r>
      <w:r>
        <w:rPr>
          <w:rFonts w:hint="eastAsia" w:ascii="Times New Roman" w:hAnsi="Times New Roman" w:cs="Times New Roman"/>
          <w:b w:val="0"/>
          <w:bCs w:val="0"/>
          <w:sz w:val="20"/>
          <w:szCs w:val="21"/>
          <w:lang w:val="en-US" w:eastAsia="zh-CN"/>
        </w:rPr>
        <w:t>:</w:t>
      </w:r>
    </w:p>
    <w:p>
      <w:pPr>
        <w:pStyle w:val="3"/>
        <w:numPr>
          <w:ilvl w:val="0"/>
          <w:numId w:val="5"/>
        </w:numPr>
        <w:ind w:left="420" w:leftChars="0" w:hanging="420" w:firstLineChars="0"/>
        <w:rPr>
          <w:rFonts w:hint="eastAsia"/>
          <w:i/>
          <w:iCs/>
          <w:lang w:val="en-US" w:eastAsia="zh-CN"/>
        </w:rPr>
      </w:pPr>
      <w:r>
        <w:rPr>
          <w:rFonts w:hint="eastAsia"/>
          <w:i/>
          <w:iCs/>
          <w:lang w:val="en-US" w:eastAsia="zh-CN"/>
        </w:rPr>
        <w:t>ssb-perRACH-Occasion =&lt;</w:t>
      </w:r>
      <w:r>
        <w:rPr>
          <w:rFonts w:hint="eastAsia"/>
          <w:i w:val="0"/>
          <w:iCs w:val="0"/>
          <w:lang w:val="en-US" w:eastAsia="zh-CN"/>
        </w:rPr>
        <w:t>1: Since one RO maps to only one SSB, the SSB specific BI is more or less similar with RO specific BI, in this case, UE can also select the light loaded RO from the same SSB for transmitting Msg.1 in order to avoid the collision with RO specific BI, in which beam specific BI cannot realize the same function as RO specific BI.</w:t>
      </w:r>
    </w:p>
    <w:p>
      <w:pPr>
        <w:pStyle w:val="3"/>
        <w:numPr>
          <w:ilvl w:val="0"/>
          <w:numId w:val="5"/>
        </w:numPr>
        <w:ind w:left="420" w:leftChars="0" w:hanging="420" w:firstLineChars="0"/>
        <w:rPr>
          <w:rFonts w:hint="eastAsia"/>
          <w:i/>
          <w:iCs/>
          <w:lang w:val="en-US" w:eastAsia="zh-CN"/>
        </w:rPr>
      </w:pPr>
      <w:r>
        <w:rPr>
          <w:rFonts w:hint="eastAsia"/>
          <w:i/>
          <w:iCs/>
          <w:lang w:val="en-US" w:eastAsia="zh-CN"/>
        </w:rPr>
        <w:t>ssb-perRach-Occassion</w:t>
      </w:r>
      <w:r>
        <w:rPr>
          <w:rFonts w:hint="eastAsia"/>
          <w:i w:val="0"/>
          <w:iCs w:val="0"/>
          <w:lang w:val="en-US" w:eastAsia="zh-CN"/>
        </w:rPr>
        <w:t xml:space="preserve"> &gt;1 : In this case, multiple SSBs map to one RO, the RO specific BI can reflect the load of SSB group (the number of SSB is upon the value of </w:t>
      </w:r>
      <w:r>
        <w:rPr>
          <w:rFonts w:hint="eastAsia"/>
          <w:i/>
          <w:iCs/>
          <w:lang w:val="en-US" w:eastAsia="zh-CN"/>
        </w:rPr>
        <w:t>ssb-perRach-Occassion)</w:t>
      </w:r>
      <w:r>
        <w:rPr>
          <w:rFonts w:hint="eastAsia"/>
          <w:i w:val="0"/>
          <w:iCs w:val="0"/>
          <w:lang w:val="en-US" w:eastAsia="zh-CN"/>
        </w:rPr>
        <w:t xml:space="preserve"> in one RO. And the beam specific BI can provide the detailed knowledge of each beam in one RO. Thus in this case, the beam specific BI seems better than the RO specific BI. </w:t>
      </w:r>
    </w:p>
    <w:p>
      <w:pPr>
        <w:pStyle w:val="3"/>
        <w:numPr>
          <w:ilvl w:val="0"/>
          <w:numId w:val="0"/>
        </w:numPr>
        <w:ind w:leftChars="0"/>
        <w:rPr>
          <w:rFonts w:hint="eastAsia"/>
          <w:i w:val="0"/>
          <w:iCs w:val="0"/>
          <w:lang w:val="en-US" w:eastAsia="zh-CN"/>
        </w:rPr>
      </w:pPr>
      <w:r>
        <w:rPr>
          <w:rFonts w:hint="eastAsia"/>
          <w:i w:val="0"/>
          <w:iCs w:val="0"/>
          <w:lang w:val="en-US" w:eastAsia="zh-CN"/>
        </w:rPr>
        <w:t>From above analysis, the current RO specific BI seems have the similar function with beam specific BI since the the configured mapping relationship between RO and SSB, thus it is not necessary to introduce the beam specific backoff for releasing the overloading SSB. We can do something based on the current RAR mechanism if we really want to do this enhancement.</w:t>
      </w:r>
    </w:p>
    <w:p>
      <w:pPr>
        <w:pStyle w:val="3"/>
        <w:numPr>
          <w:ilvl w:val="0"/>
          <w:numId w:val="0"/>
        </w:numPr>
        <w:ind w:leftChars="0"/>
        <w:rPr>
          <w:rFonts w:hint="eastAsia"/>
          <w:b/>
          <w:bCs/>
          <w:i w:val="0"/>
          <w:iCs w:val="0"/>
          <w:lang w:val="en-US" w:eastAsia="zh-CN"/>
        </w:rPr>
      </w:pPr>
      <w:r>
        <w:rPr>
          <w:rFonts w:hint="eastAsia"/>
          <w:b/>
          <w:bCs/>
          <w:i w:val="0"/>
          <w:iCs w:val="0"/>
          <w:lang w:val="en-US" w:eastAsia="zh-CN"/>
        </w:rPr>
        <w:t>Observation 2: Considering the mapping relationship between RO and SSB, the RO specific BI is more or less similar as the Beam specific BI.</w:t>
      </w:r>
    </w:p>
    <w:p>
      <w:pPr>
        <w:pStyle w:val="3"/>
        <w:numPr>
          <w:ilvl w:val="0"/>
          <w:numId w:val="0"/>
        </w:numPr>
        <w:ind w:leftChars="0"/>
        <w:rPr>
          <w:rFonts w:hint="eastAsia"/>
          <w:b/>
          <w:bCs/>
          <w:i w:val="0"/>
          <w:iCs w:val="0"/>
          <w:lang w:val="en-US" w:eastAsia="zh-CN"/>
        </w:rPr>
      </w:pPr>
      <w:r>
        <w:rPr>
          <w:rFonts w:hint="eastAsia"/>
          <w:b/>
          <w:bCs/>
          <w:i w:val="0"/>
          <w:iCs w:val="0"/>
          <w:lang w:val="en-US" w:eastAsia="zh-CN"/>
        </w:rPr>
        <w:t xml:space="preserve">Proposal 1: Considering the mapping relationship between SSB and RO, there is no need to introduce beam specific BI in MAC PDU format. </w:t>
      </w:r>
    </w:p>
    <w:p>
      <w:pPr>
        <w:pStyle w:val="2"/>
        <w:pBdr>
          <w:top w:val="single" w:color="auto" w:sz="4" w:space="1"/>
        </w:pBdr>
        <w:jc w:val="both"/>
      </w:pPr>
      <w:r>
        <w:t>Conclusion</w:t>
      </w:r>
    </w:p>
    <w:p>
      <w:pPr>
        <w:rPr>
          <w:rFonts w:hint="default" w:ascii="Times New Roman" w:hAnsi="Times New Roman" w:cs="Times New Roman"/>
          <w:b w:val="0"/>
          <w:bCs w:val="0"/>
          <w:i/>
          <w:iCs/>
          <w:sz w:val="20"/>
          <w:szCs w:val="21"/>
          <w:lang w:val="en-US" w:eastAsia="zh-CN"/>
        </w:rPr>
      </w:pPr>
      <w:r>
        <w:rPr>
          <w:rFonts w:hint="eastAsia" w:ascii="Times New Roman" w:hAnsi="Times New Roman" w:cs="Times New Roman"/>
          <w:b w:val="0"/>
          <w:bCs w:val="0"/>
          <w:i/>
          <w:iCs/>
          <w:sz w:val="20"/>
          <w:szCs w:val="21"/>
          <w:lang w:val="en-US" w:eastAsia="zh-CN"/>
        </w:rPr>
        <w:t xml:space="preserve">Observation 1: </w:t>
      </w:r>
      <w:r>
        <w:rPr>
          <w:rFonts w:hint="eastAsia" w:cs="Times New Roman"/>
          <w:b w:val="0"/>
          <w:bCs w:val="0"/>
          <w:i/>
          <w:iCs/>
          <w:sz w:val="20"/>
          <w:szCs w:val="21"/>
          <w:lang w:val="en-US" w:eastAsia="zh-CN"/>
        </w:rPr>
        <w:t>Since the RA-RNTI is calculated based by the location of RO, thus t</w:t>
      </w:r>
      <w:r>
        <w:rPr>
          <w:rFonts w:hint="eastAsia" w:ascii="Times New Roman" w:hAnsi="Times New Roman" w:cs="Times New Roman"/>
          <w:b w:val="0"/>
          <w:bCs w:val="0"/>
          <w:i/>
          <w:iCs/>
          <w:sz w:val="20"/>
          <w:szCs w:val="21"/>
          <w:lang w:val="en-US" w:eastAsia="zh-CN"/>
        </w:rPr>
        <w:t xml:space="preserve">he current BI </w:t>
      </w:r>
      <w:r>
        <w:rPr>
          <w:rFonts w:hint="eastAsia" w:cs="Times New Roman"/>
          <w:b w:val="0"/>
          <w:bCs w:val="0"/>
          <w:i/>
          <w:iCs/>
          <w:sz w:val="20"/>
          <w:szCs w:val="21"/>
          <w:lang w:val="en-US" w:eastAsia="zh-CN"/>
        </w:rPr>
        <w:t>can be considered as</w:t>
      </w:r>
      <w:r>
        <w:rPr>
          <w:rFonts w:hint="eastAsia" w:ascii="Times New Roman" w:hAnsi="Times New Roman" w:cs="Times New Roman"/>
          <w:b w:val="0"/>
          <w:bCs w:val="0"/>
          <w:i/>
          <w:iCs/>
          <w:sz w:val="20"/>
          <w:szCs w:val="21"/>
          <w:lang w:val="en-US" w:eastAsia="zh-CN"/>
        </w:rPr>
        <w:t xml:space="preserve"> RO specific.</w:t>
      </w:r>
    </w:p>
    <w:p>
      <w:pPr>
        <w:pStyle w:val="3"/>
        <w:numPr>
          <w:ilvl w:val="0"/>
          <w:numId w:val="0"/>
        </w:numPr>
        <w:ind w:leftChars="0"/>
        <w:rPr>
          <w:rFonts w:hint="eastAsia"/>
          <w:b w:val="0"/>
          <w:bCs w:val="0"/>
          <w:i/>
          <w:iCs/>
          <w:lang w:val="en-US" w:eastAsia="zh-CN"/>
        </w:rPr>
      </w:pPr>
      <w:r>
        <w:rPr>
          <w:rFonts w:hint="eastAsia"/>
          <w:b w:val="0"/>
          <w:bCs w:val="0"/>
          <w:i/>
          <w:iCs/>
          <w:lang w:val="en-US" w:eastAsia="zh-CN"/>
        </w:rPr>
        <w:t>Observation 2: Considering the mapping relationship between RO and SSB, the RO specific BI is more or less similar as the Beam specific BI.</w:t>
      </w:r>
    </w:p>
    <w:p>
      <w:pPr>
        <w:pStyle w:val="3"/>
        <w:numPr>
          <w:ilvl w:val="0"/>
          <w:numId w:val="0"/>
        </w:numPr>
        <w:ind w:leftChars="0"/>
        <w:rPr>
          <w:rFonts w:hint="eastAsia"/>
          <w:b/>
          <w:bCs/>
          <w:i w:val="0"/>
          <w:iCs w:val="0"/>
          <w:lang w:val="en-US" w:eastAsia="zh-CN"/>
        </w:rPr>
      </w:pPr>
      <w:r>
        <w:rPr>
          <w:rFonts w:hint="eastAsia"/>
          <w:b/>
          <w:bCs/>
          <w:i w:val="0"/>
          <w:iCs w:val="0"/>
          <w:lang w:val="en-US" w:eastAsia="zh-CN"/>
        </w:rPr>
        <w:t xml:space="preserve">Proposal 1: Considering the mapping relationship between SSB and RO, there is no need to introduce the </w:t>
      </w:r>
      <w:bookmarkStart w:id="3" w:name="_GoBack"/>
      <w:bookmarkEnd w:id="3"/>
      <w:r>
        <w:rPr>
          <w:rFonts w:hint="eastAsia"/>
          <w:b/>
          <w:bCs/>
          <w:i w:val="0"/>
          <w:iCs w:val="0"/>
          <w:lang w:val="en-US" w:eastAsia="zh-CN"/>
        </w:rPr>
        <w:t xml:space="preserve">beam specific BI in MAC PDU format. </w:t>
      </w:r>
    </w:p>
    <w:p>
      <w:pPr>
        <w:pStyle w:val="2"/>
        <w:pBdr>
          <w:top w:val="single" w:color="auto" w:sz="4" w:space="1"/>
        </w:pBdr>
        <w:jc w:val="both"/>
      </w:pPr>
      <w:r>
        <w:t>References</w:t>
      </w:r>
    </w:p>
    <w:p>
      <w:pPr>
        <w:pStyle w:val="3"/>
        <w:rPr>
          <w:rFonts w:eastAsiaTheme="minorEastAsia"/>
          <w:iCs/>
          <w:lang w:eastAsia="zh-CN"/>
        </w:rPr>
      </w:pPr>
      <w:r>
        <w:rPr>
          <w:rFonts w:hint="eastAsia" w:eastAsia="宋体"/>
          <w:lang w:val="en-GB" w:eastAsia="zh-CN"/>
        </w:rPr>
        <w:t>[1</w:t>
      </w:r>
      <w:r>
        <w:rPr>
          <w:rFonts w:eastAsia="宋体"/>
          <w:lang w:val="en-GB" w:eastAsia="zh-CN"/>
        </w:rPr>
        <w:t xml:space="preserve">] </w:t>
      </w:r>
      <w:r>
        <w:rPr>
          <w:rFonts w:hint="default" w:eastAsia="宋体"/>
          <w:lang w:val="en-US" w:eastAsia="zh-CN"/>
        </w:rPr>
        <w:t>“38</w:t>
      </w:r>
      <w:r>
        <w:rPr>
          <w:rFonts w:hint="eastAsia" w:eastAsia="宋体"/>
          <w:lang w:val="en-US" w:eastAsia="zh-CN"/>
        </w:rPr>
        <w:t>.321 f20</w:t>
      </w:r>
      <w:r>
        <w:rPr>
          <w:rFonts w:hint="default" w:eastAsia="宋体"/>
          <w:lang w:val="en-US" w:eastAsia="zh-CN"/>
        </w:rPr>
        <w:t>”</w:t>
      </w:r>
    </w:p>
    <w:p>
      <w:pPr>
        <w:pStyle w:val="3"/>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5B2B4F10"/>
    <w:multiLevelType w:val="singleLevel"/>
    <w:tmpl w:val="5B2B4F10"/>
    <w:lvl w:ilvl="0" w:tentative="0">
      <w:start w:val="1"/>
      <w:numFmt w:val="bullet"/>
      <w:lvlText w:val=""/>
      <w:lvlJc w:val="left"/>
      <w:pPr>
        <w:ind w:left="420" w:leftChars="0" w:hanging="420" w:firstLineChars="0"/>
      </w:pPr>
      <w:rPr>
        <w:rFonts w:hint="default" w:ascii="Wingdings" w:hAnsi="Wingdings"/>
      </w:rPr>
    </w:lvl>
  </w:abstractNum>
  <w:abstractNum w:abstractNumId="2">
    <w:nsid w:val="736D6E2A"/>
    <w:multiLevelType w:val="multilevel"/>
    <w:tmpl w:val="736D6E2A"/>
    <w:lvl w:ilvl="0" w:tentative="0">
      <w:start w:val="1"/>
      <w:numFmt w:val="decimal"/>
      <w:pStyle w:val="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033E"/>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4E8"/>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A48"/>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645"/>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75"/>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A67"/>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312"/>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47E17"/>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29AF"/>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370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5E24"/>
    <w:rsid w:val="00606434"/>
    <w:rsid w:val="00606C30"/>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2EB"/>
    <w:rsid w:val="006C5336"/>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2EE"/>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B730F"/>
    <w:rsid w:val="007C00F8"/>
    <w:rsid w:val="007C0392"/>
    <w:rsid w:val="007C0477"/>
    <w:rsid w:val="007C04FC"/>
    <w:rsid w:val="007C207E"/>
    <w:rsid w:val="007C21D8"/>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C6"/>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2E97"/>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F82"/>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C13"/>
    <w:rsid w:val="00B45D36"/>
    <w:rsid w:val="00B463FC"/>
    <w:rsid w:val="00B466A0"/>
    <w:rsid w:val="00B471AA"/>
    <w:rsid w:val="00B474E4"/>
    <w:rsid w:val="00B479EB"/>
    <w:rsid w:val="00B504AA"/>
    <w:rsid w:val="00B50CD5"/>
    <w:rsid w:val="00B50FFF"/>
    <w:rsid w:val="00B5176D"/>
    <w:rsid w:val="00B519DE"/>
    <w:rsid w:val="00B52F40"/>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A7F1A"/>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0AE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3CA6"/>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3C85"/>
    <w:rsid w:val="00D7478C"/>
    <w:rsid w:val="00D7530A"/>
    <w:rsid w:val="00D76468"/>
    <w:rsid w:val="00D767CC"/>
    <w:rsid w:val="00D8087A"/>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B70"/>
    <w:rsid w:val="00DA7DD9"/>
    <w:rsid w:val="00DB0AA0"/>
    <w:rsid w:val="00DB342A"/>
    <w:rsid w:val="00DB37D5"/>
    <w:rsid w:val="00DB398E"/>
    <w:rsid w:val="00DB3A5C"/>
    <w:rsid w:val="00DB444A"/>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24"/>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6F0A91"/>
    <w:rsid w:val="02F63080"/>
    <w:rsid w:val="039501B4"/>
    <w:rsid w:val="04105648"/>
    <w:rsid w:val="04422021"/>
    <w:rsid w:val="04EA388D"/>
    <w:rsid w:val="0582796D"/>
    <w:rsid w:val="05FA1F21"/>
    <w:rsid w:val="072B715D"/>
    <w:rsid w:val="073444D8"/>
    <w:rsid w:val="079B4945"/>
    <w:rsid w:val="098923D4"/>
    <w:rsid w:val="0AFC34E8"/>
    <w:rsid w:val="0BAF1560"/>
    <w:rsid w:val="0CA45875"/>
    <w:rsid w:val="0DF11F2D"/>
    <w:rsid w:val="0E295777"/>
    <w:rsid w:val="0E6E593D"/>
    <w:rsid w:val="0F3573CF"/>
    <w:rsid w:val="0F4E7E76"/>
    <w:rsid w:val="10081732"/>
    <w:rsid w:val="10B21205"/>
    <w:rsid w:val="12E57BE6"/>
    <w:rsid w:val="131B3A72"/>
    <w:rsid w:val="14093D55"/>
    <w:rsid w:val="14890F28"/>
    <w:rsid w:val="15E96D92"/>
    <w:rsid w:val="16C854B6"/>
    <w:rsid w:val="16E650F6"/>
    <w:rsid w:val="17124787"/>
    <w:rsid w:val="17D8549B"/>
    <w:rsid w:val="184F4020"/>
    <w:rsid w:val="19405ADF"/>
    <w:rsid w:val="1A755266"/>
    <w:rsid w:val="1A8A5B7E"/>
    <w:rsid w:val="1AE50BD5"/>
    <w:rsid w:val="1AF2495A"/>
    <w:rsid w:val="1BA2390D"/>
    <w:rsid w:val="1BAE78BD"/>
    <w:rsid w:val="1E5913DA"/>
    <w:rsid w:val="1E831CAA"/>
    <w:rsid w:val="1E96070E"/>
    <w:rsid w:val="20B366CF"/>
    <w:rsid w:val="20CE6CFD"/>
    <w:rsid w:val="21A44AC8"/>
    <w:rsid w:val="238154F4"/>
    <w:rsid w:val="252D1B1B"/>
    <w:rsid w:val="257D5651"/>
    <w:rsid w:val="25F27FFE"/>
    <w:rsid w:val="273B2AE2"/>
    <w:rsid w:val="28D01C3C"/>
    <w:rsid w:val="28EC1E80"/>
    <w:rsid w:val="28F42B77"/>
    <w:rsid w:val="29E806D9"/>
    <w:rsid w:val="2AD608F9"/>
    <w:rsid w:val="2AF30835"/>
    <w:rsid w:val="2DFE3C75"/>
    <w:rsid w:val="2E8A0040"/>
    <w:rsid w:val="2FD155EB"/>
    <w:rsid w:val="319D7D4B"/>
    <w:rsid w:val="31F03AB7"/>
    <w:rsid w:val="32083255"/>
    <w:rsid w:val="327276DD"/>
    <w:rsid w:val="3472228A"/>
    <w:rsid w:val="348F3B12"/>
    <w:rsid w:val="34D564FD"/>
    <w:rsid w:val="35F4163C"/>
    <w:rsid w:val="365266AA"/>
    <w:rsid w:val="37995BC6"/>
    <w:rsid w:val="37BD5DA5"/>
    <w:rsid w:val="386113FA"/>
    <w:rsid w:val="39653F7E"/>
    <w:rsid w:val="3BDA7095"/>
    <w:rsid w:val="3D754879"/>
    <w:rsid w:val="3E8A3B3B"/>
    <w:rsid w:val="3EDD524D"/>
    <w:rsid w:val="3F8C28BA"/>
    <w:rsid w:val="40D31AEE"/>
    <w:rsid w:val="453F67C5"/>
    <w:rsid w:val="45A67B18"/>
    <w:rsid w:val="4676484C"/>
    <w:rsid w:val="46DA372D"/>
    <w:rsid w:val="48A91D43"/>
    <w:rsid w:val="48BB3DB2"/>
    <w:rsid w:val="48C17802"/>
    <w:rsid w:val="48C325D9"/>
    <w:rsid w:val="49DA3D9D"/>
    <w:rsid w:val="4CD17FAA"/>
    <w:rsid w:val="4CE9144F"/>
    <w:rsid w:val="4EF1316B"/>
    <w:rsid w:val="4F150A97"/>
    <w:rsid w:val="503F487A"/>
    <w:rsid w:val="506178BC"/>
    <w:rsid w:val="516D6C2C"/>
    <w:rsid w:val="53572741"/>
    <w:rsid w:val="53EB0B21"/>
    <w:rsid w:val="548F3E8C"/>
    <w:rsid w:val="55025020"/>
    <w:rsid w:val="55111F8C"/>
    <w:rsid w:val="55F51FF7"/>
    <w:rsid w:val="569D1AA4"/>
    <w:rsid w:val="56E101D8"/>
    <w:rsid w:val="57DD2170"/>
    <w:rsid w:val="58097F84"/>
    <w:rsid w:val="585F4E67"/>
    <w:rsid w:val="5913647E"/>
    <w:rsid w:val="59307E86"/>
    <w:rsid w:val="59724A8E"/>
    <w:rsid w:val="5B492890"/>
    <w:rsid w:val="5BEB6A37"/>
    <w:rsid w:val="5EA6135D"/>
    <w:rsid w:val="5EE01137"/>
    <w:rsid w:val="6220436F"/>
    <w:rsid w:val="6634496C"/>
    <w:rsid w:val="6923311F"/>
    <w:rsid w:val="69262905"/>
    <w:rsid w:val="6BD43E1A"/>
    <w:rsid w:val="6CFC759F"/>
    <w:rsid w:val="6DBF4A0F"/>
    <w:rsid w:val="6DE74A42"/>
    <w:rsid w:val="6E3D6C31"/>
    <w:rsid w:val="6EA30DB8"/>
    <w:rsid w:val="6F101A3C"/>
    <w:rsid w:val="6F284426"/>
    <w:rsid w:val="70A12211"/>
    <w:rsid w:val="70BD613D"/>
    <w:rsid w:val="72AE5B20"/>
    <w:rsid w:val="7316577D"/>
    <w:rsid w:val="735B4253"/>
    <w:rsid w:val="7372752E"/>
    <w:rsid w:val="75C8748F"/>
    <w:rsid w:val="76630752"/>
    <w:rsid w:val="77815A3B"/>
    <w:rsid w:val="77A9757E"/>
    <w:rsid w:val="77AE2628"/>
    <w:rsid w:val="7C3209BA"/>
    <w:rsid w:val="7D4B6226"/>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7">
    <w:name w:val="List 3"/>
    <w:basedOn w:val="8"/>
    <w:qFormat/>
    <w:uiPriority w:val="0"/>
    <w:pPr>
      <w:tabs>
        <w:tab w:val="left" w:pos="2041"/>
      </w:tabs>
      <w:ind w:left="100" w:leftChars="400" w:hanging="200" w:hangingChars="200"/>
      <w:contextualSpacing/>
    </w:pPr>
  </w:style>
  <w:style w:type="paragraph" w:styleId="8">
    <w:name w:val="List 2"/>
    <w:basedOn w:val="9"/>
    <w:qFormat/>
    <w:uiPriority w:val="0"/>
    <w:pPr>
      <w:numPr>
        <w:ilvl w:val="0"/>
        <w:numId w:val="2"/>
      </w:numPr>
      <w:spacing w:before="180"/>
    </w:pPr>
    <w:rPr>
      <w:rFonts w:ascii="Arial" w:hAnsi="Arial"/>
      <w:sz w:val="22"/>
      <w:szCs w:val="20"/>
    </w:rPr>
  </w:style>
  <w:style w:type="paragraph" w:styleId="9">
    <w:name w:val="List"/>
    <w:basedOn w:val="1"/>
    <w:qFormat/>
    <w:uiPriority w:val="0"/>
    <w:pPr>
      <w:ind w:left="283" w:hanging="283"/>
    </w:pPr>
  </w:style>
  <w:style w:type="paragraph" w:styleId="10">
    <w:name w:val="annotation subject"/>
    <w:basedOn w:val="11"/>
    <w:next w:val="11"/>
    <w:semiHidden/>
    <w:qFormat/>
    <w:uiPriority w:val="0"/>
    <w:rPr>
      <w:b/>
      <w:bCs/>
    </w:rPr>
  </w:style>
  <w:style w:type="paragraph" w:styleId="11">
    <w:name w:val="annotation text"/>
    <w:basedOn w:val="1"/>
    <w:link w:val="61"/>
    <w:semiHidden/>
    <w:qFormat/>
    <w:uiPriority w:val="99"/>
  </w:style>
  <w:style w:type="paragraph" w:styleId="12">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3">
    <w:name w:val="Document Map"/>
    <w:basedOn w:val="1"/>
    <w:semiHidden/>
    <w:qFormat/>
    <w:uiPriority w:val="0"/>
    <w:pPr>
      <w:shd w:val="clear" w:color="auto" w:fill="000080"/>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7"/>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2"/>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3"/>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4"/>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11"/>
    <w:semiHidden/>
    <w:qFormat/>
    <w:uiPriority w:val="99"/>
    <w:rPr>
      <w:rFonts w:eastAsia="Times New Roman"/>
      <w:szCs w:val="24"/>
      <w:lang w:eastAsia="en-US"/>
    </w:rPr>
  </w:style>
  <w:style w:type="paragraph" w:customStyle="1" w:styleId="62">
    <w:name w:val="B1"/>
    <w:basedOn w:val="9"/>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8"/>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7"/>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character" w:customStyle="1" w:styleId="84">
    <w:name w:val="标题 1 Char"/>
    <w:basedOn w:val="22"/>
    <w:link w:val="2"/>
    <w:qFormat/>
    <w:uiPriority w:val="0"/>
    <w:rPr>
      <w:rFonts w:ascii="Arial" w:hAnsi="Arial" w:cs="Arial"/>
      <w:b/>
      <w:bCs/>
      <w:kern w:val="32"/>
      <w:sz w:val="28"/>
      <w:szCs w:val="32"/>
    </w:rPr>
  </w:style>
  <w:style w:type="paragraph" w:customStyle="1" w:styleId="85">
    <w:name w:val="CR Cover Page"/>
    <w:qFormat/>
    <w:uiPriority w:val="0"/>
    <w:pPr>
      <w:spacing w:after="120"/>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C5D6-462A-4497-8485-DD54ED11D9C3}">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1108</Words>
  <Characters>6293</Characters>
  <Lines>17</Lines>
  <Paragraphs>5</Paragraphs>
  <ScaleCrop>false</ScaleCrop>
  <LinksUpToDate>false</LinksUpToDate>
  <CharactersWithSpaces>7472</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ZTE</dc:creator>
  <cp:lastModifiedBy>ZTE</cp:lastModifiedBy>
  <cp:lastPrinted>2007-08-28T14:45:00Z</cp:lastPrinted>
  <dcterms:modified xsi:type="dcterms:W3CDTF">2018-06-21T14:58:16Z</dcterms:modified>
  <dc:title>3GPP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